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4AD6D5">
      <w:pPr>
        <w:spacing w:line="360" w:lineRule="auto"/>
        <w:jc w:val="center"/>
        <w:rPr>
          <w:rFonts w:ascii="Times New Roman" w:hAnsi="Times New Roman" w:eastAsia="黑体"/>
          <w:b/>
          <w:bCs w:val="0"/>
          <w:color w:val="auto"/>
          <w:sz w:val="40"/>
          <w:szCs w:val="32"/>
          <w:highlight w:val="none"/>
        </w:rPr>
      </w:pPr>
      <w:r>
        <w:rPr>
          <w:rFonts w:hint="eastAsia" w:ascii="仿宋" w:hAnsi="仿宋" w:eastAsia="仿宋" w:cs="宋体"/>
          <w:b/>
          <w:bCs w:val="0"/>
          <w:color w:val="auto"/>
          <w:sz w:val="40"/>
          <w:szCs w:val="40"/>
          <w:highlight w:val="none"/>
          <w:lang w:eastAsia="zh-CN"/>
        </w:rPr>
        <w:t>和鼎机电设备有限公司出口认证服务（UN38.3）供应商采购</w:t>
      </w:r>
      <w:r>
        <w:rPr>
          <w:rFonts w:ascii="Times New Roman" w:hAnsi="Times New Roman" w:eastAsia="仿宋"/>
          <w:b/>
          <w:bCs w:val="0"/>
          <w:color w:val="auto"/>
          <w:sz w:val="40"/>
          <w:szCs w:val="40"/>
          <w:highlight w:val="none"/>
        </w:rPr>
        <w:t>公告</w:t>
      </w:r>
    </w:p>
    <w:p w14:paraId="2DA01573">
      <w:pPr>
        <w:spacing w:line="360" w:lineRule="auto"/>
        <w:ind w:firstLine="480" w:firstLineChars="200"/>
        <w:rPr>
          <w:rFonts w:hint="eastAsia" w:ascii="仿宋" w:hAnsi="仿宋" w:eastAsia="仿宋" w:cs="宋体"/>
          <w:bCs/>
          <w:color w:val="auto"/>
          <w:sz w:val="24"/>
          <w:szCs w:val="24"/>
          <w:highlight w:val="none"/>
          <w:lang w:eastAsia="zh-CN"/>
        </w:rPr>
      </w:pPr>
      <w:bookmarkStart w:id="48" w:name="_GoBack"/>
      <w:bookmarkEnd w:id="48"/>
    </w:p>
    <w:p w14:paraId="44264DA6">
      <w:pPr>
        <w:spacing w:line="360" w:lineRule="auto"/>
        <w:ind w:firstLine="480" w:firstLineChars="200"/>
        <w:rPr>
          <w:rFonts w:ascii="Times New Roman" w:hAnsi="Times New Roman" w:eastAsia="黑体"/>
          <w:color w:val="auto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宋体"/>
          <w:bCs/>
          <w:color w:val="auto"/>
          <w:sz w:val="24"/>
          <w:szCs w:val="24"/>
          <w:highlight w:val="none"/>
          <w:lang w:eastAsia="zh-CN"/>
        </w:rPr>
        <w:t>安徽安天利信工程管理股份有限公司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受</w:t>
      </w:r>
      <w:r>
        <w:rPr>
          <w:rFonts w:hint="eastAsia" w:ascii="仿宋" w:hAnsi="仿宋" w:eastAsia="仿宋" w:cs="宋体"/>
          <w:bCs/>
          <w:color w:val="auto"/>
          <w:sz w:val="24"/>
          <w:szCs w:val="24"/>
          <w:highlight w:val="none"/>
          <w:lang w:eastAsia="zh-CN"/>
        </w:rPr>
        <w:t>安徽和鼎机电设备有限公司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</w:rPr>
        <w:t>委托，现对</w:t>
      </w:r>
      <w:r>
        <w:rPr>
          <w:rFonts w:hint="eastAsia" w:ascii="仿宋" w:hAnsi="仿宋" w:eastAsia="仿宋" w:cs="宋体"/>
          <w:bCs/>
          <w:color w:val="auto"/>
          <w:sz w:val="24"/>
          <w:szCs w:val="24"/>
          <w:highlight w:val="none"/>
          <w:lang w:eastAsia="zh-CN"/>
        </w:rPr>
        <w:t>和鼎机电设备有限公司出口认证服务（UN38.3）供应商采购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  <w:t>进行国内公开询比采购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</w:rPr>
        <w:t>，欢迎具备条件的国内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</w:rPr>
        <w:t>参加。</w:t>
      </w:r>
    </w:p>
    <w:p w14:paraId="73F3ACCD">
      <w:pPr>
        <w:pStyle w:val="5"/>
        <w:spacing w:line="360" w:lineRule="auto"/>
        <w:rPr>
          <w:rFonts w:ascii="Times New Roman" w:hAnsi="Times New Roman" w:eastAsia="仿宋"/>
          <w:color w:val="auto"/>
          <w:highlight w:val="none"/>
        </w:rPr>
      </w:pPr>
      <w:bookmarkStart w:id="0" w:name="_Toc28908"/>
      <w:bookmarkStart w:id="1" w:name="_Toc21212"/>
      <w:bookmarkStart w:id="2" w:name="_Toc22903"/>
      <w:bookmarkStart w:id="3" w:name="_Toc10622"/>
      <w:bookmarkStart w:id="4" w:name="_Toc10879"/>
      <w:bookmarkStart w:id="5" w:name="_Toc13283"/>
      <w:bookmarkStart w:id="6" w:name="_Toc26146"/>
      <w:bookmarkStart w:id="7" w:name="_Toc6383"/>
      <w:bookmarkStart w:id="8" w:name="_Toc25815"/>
      <w:bookmarkStart w:id="9" w:name="_Toc151393372"/>
      <w:bookmarkStart w:id="10" w:name="_Toc19312"/>
      <w:r>
        <w:rPr>
          <w:rFonts w:hint="eastAsia" w:ascii="Times New Roman" w:hAnsi="Times New Roman" w:eastAsia="仿宋"/>
          <w:color w:val="auto"/>
          <w:highlight w:val="none"/>
        </w:rPr>
        <w:t>1.</w:t>
      </w:r>
      <w:r>
        <w:rPr>
          <w:rFonts w:hint="eastAsia" w:ascii="Times New Roman" w:hAnsi="Times New Roman" w:eastAsia="仿宋"/>
          <w:color w:val="auto"/>
          <w:highlight w:val="none"/>
          <w:lang w:eastAsia="zh-CN"/>
        </w:rPr>
        <w:t>采购</w:t>
      </w:r>
      <w:r>
        <w:rPr>
          <w:rFonts w:hint="eastAsia" w:ascii="Times New Roman" w:hAnsi="Times New Roman" w:eastAsia="仿宋"/>
          <w:color w:val="auto"/>
          <w:highlight w:val="none"/>
        </w:rPr>
        <w:t>条件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408A4CE5">
      <w:pPr>
        <w:spacing w:line="360" w:lineRule="auto"/>
        <w:ind w:firstLine="480" w:firstLineChars="200"/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bookmarkStart w:id="11" w:name="_Toc12572"/>
      <w:bookmarkStart w:id="12" w:name="_Toc21848"/>
      <w:bookmarkStart w:id="13" w:name="_Toc28404"/>
      <w:bookmarkStart w:id="14" w:name="_Toc2037"/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1.1 采购人：安徽和鼎机电设备有限公司</w:t>
      </w:r>
    </w:p>
    <w:p w14:paraId="65B3E367">
      <w:pPr>
        <w:spacing w:line="360" w:lineRule="auto"/>
        <w:ind w:firstLine="480" w:firstLineChars="200"/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1.2 采购代理机构：安徽安天利信工程管理股份有限公司</w:t>
      </w:r>
    </w:p>
    <w:p w14:paraId="77B446CF">
      <w:pPr>
        <w:spacing w:line="360" w:lineRule="auto"/>
        <w:ind w:firstLine="480" w:firstLineChars="200"/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1.3采购项目名称：和鼎机电设备有限公司出口认证服务（UN38.3）供应商采购</w:t>
      </w:r>
    </w:p>
    <w:p w14:paraId="44D8602F">
      <w:pPr>
        <w:spacing w:line="360" w:lineRule="auto"/>
        <w:ind w:firstLine="480" w:firstLineChars="200"/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1.4 资金来源：自筹资金</w:t>
      </w:r>
    </w:p>
    <w:p w14:paraId="12A03E0E">
      <w:pPr>
        <w:spacing w:line="360" w:lineRule="auto"/>
        <w:ind w:firstLine="480" w:firstLineChars="200"/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1.5 项目出资比例：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  <w:t>100%</w:t>
      </w:r>
    </w:p>
    <w:p w14:paraId="53856DB8">
      <w:pPr>
        <w:spacing w:line="360" w:lineRule="auto"/>
        <w:ind w:firstLine="480" w:firstLineChars="200"/>
        <w:rPr>
          <w:rFonts w:hint="eastAsia" w:ascii="Times New Roman" w:eastAsia="仿宋"/>
          <w:color w:val="auto"/>
          <w:szCs w:val="24"/>
          <w:highlight w:val="none"/>
          <w:u w:val="single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1.6 资金落实情况：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  <w:t>已落实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ab/>
      </w:r>
    </w:p>
    <w:p w14:paraId="6C832DFC">
      <w:pPr>
        <w:pStyle w:val="5"/>
        <w:spacing w:line="360" w:lineRule="auto"/>
        <w:rPr>
          <w:rFonts w:ascii="Times New Roman" w:hAnsi="Times New Roman" w:eastAsia="仿宋"/>
          <w:color w:val="auto"/>
          <w:highlight w:val="none"/>
        </w:rPr>
      </w:pPr>
      <w:bookmarkStart w:id="15" w:name="_Toc27331"/>
      <w:bookmarkStart w:id="16" w:name="_Toc9254"/>
      <w:bookmarkStart w:id="17" w:name="_Toc15646"/>
      <w:bookmarkStart w:id="18" w:name="_Toc6237"/>
      <w:bookmarkStart w:id="19" w:name="_Toc18220"/>
      <w:bookmarkStart w:id="20" w:name="_Toc13326"/>
      <w:bookmarkStart w:id="21" w:name="_Toc1141"/>
      <w:bookmarkStart w:id="22" w:name="_Toc151393373"/>
      <w:r>
        <w:rPr>
          <w:rFonts w:hint="eastAsia" w:ascii="Times New Roman" w:hAnsi="Times New Roman" w:eastAsia="仿宋"/>
          <w:color w:val="auto"/>
          <w:highlight w:val="none"/>
        </w:rPr>
        <w:t>2.项目概况与</w:t>
      </w:r>
      <w:r>
        <w:rPr>
          <w:rFonts w:hint="eastAsia" w:ascii="Times New Roman" w:hAnsi="Times New Roman" w:eastAsia="仿宋"/>
          <w:color w:val="auto"/>
          <w:highlight w:val="none"/>
          <w:lang w:eastAsia="zh-CN"/>
        </w:rPr>
        <w:t>采购</w:t>
      </w:r>
      <w:r>
        <w:rPr>
          <w:rFonts w:hint="eastAsia" w:ascii="Times New Roman" w:hAnsi="Times New Roman" w:eastAsia="仿宋"/>
          <w:color w:val="auto"/>
          <w:highlight w:val="none"/>
        </w:rPr>
        <w:t>范围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</w:p>
    <w:p w14:paraId="09723206">
      <w:pPr>
        <w:spacing w:line="360" w:lineRule="auto"/>
        <w:ind w:firstLine="480" w:firstLineChars="200"/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</w:rPr>
        <w:t>2.1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采购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</w:rPr>
        <w:t>项目编号：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26AT47089906821</w:t>
      </w:r>
    </w:p>
    <w:p w14:paraId="2F799C65">
      <w:pPr>
        <w:spacing w:line="360" w:lineRule="auto"/>
        <w:ind w:firstLine="480" w:firstLineChars="200"/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</w:rPr>
        <w:t xml:space="preserve">2.2 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响应包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</w:rPr>
        <w:t>划分：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不分包</w:t>
      </w:r>
    </w:p>
    <w:p w14:paraId="38B0028A">
      <w:pPr>
        <w:spacing w:line="360" w:lineRule="auto"/>
        <w:ind w:firstLine="480" w:firstLineChars="200"/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</w:rPr>
        <w:t>2.3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采购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</w:rPr>
        <w:t>范围：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和鼎机电设备有限公司出口认证服务（UN38.3）供应商采购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，包括负责和鼎机电锂电池模组、锂电池组的UN38.3 认证检测、报告出具及认证相关知识培训服务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  <w:t>本次采购每年度认证费用总预算约300万元，具体产生费用以实际发生为准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。具体内容详见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  <w:t>采购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文件。</w:t>
      </w:r>
    </w:p>
    <w:p w14:paraId="08F3ACEC">
      <w:pPr>
        <w:spacing w:line="360" w:lineRule="auto"/>
        <w:ind w:firstLine="480" w:firstLineChars="200"/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</w:rPr>
        <w:t xml:space="preserve">2.4 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  <w:t>服务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</w:rPr>
        <w:t>期：年度框架合作协议有效期 1 年，年度考核合格后可续签 1 年，续签次数不超过 2 次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。</w:t>
      </w:r>
    </w:p>
    <w:p w14:paraId="540E2DE1">
      <w:pPr>
        <w:spacing w:line="360" w:lineRule="auto"/>
        <w:ind w:firstLine="480" w:firstLineChars="200"/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</w:rPr>
        <w:t xml:space="preserve">2.5 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  <w:t>服务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</w:rPr>
        <w:t>地点：安徽省合肥市肥西县经开区汤口路 40 号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。</w:t>
      </w:r>
    </w:p>
    <w:p w14:paraId="1B1C83FF">
      <w:pPr>
        <w:spacing w:line="360" w:lineRule="auto"/>
        <w:ind w:firstLine="480" w:firstLineChars="200"/>
        <w:rPr>
          <w:rFonts w:hint="default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</w:rPr>
        <w:t>2.6 其他：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  <w:t>本次拟采购成交供应商2家。</w:t>
      </w:r>
    </w:p>
    <w:p w14:paraId="24FF1534">
      <w:pPr>
        <w:pStyle w:val="5"/>
        <w:spacing w:line="360" w:lineRule="auto"/>
        <w:rPr>
          <w:rFonts w:ascii="Times New Roman" w:hAnsi="Times New Roman" w:eastAsia="仿宋"/>
          <w:color w:val="auto"/>
          <w:highlight w:val="none"/>
        </w:rPr>
      </w:pPr>
      <w:bookmarkStart w:id="23" w:name="_Toc18579"/>
      <w:bookmarkStart w:id="24" w:name="_Toc17422"/>
      <w:bookmarkStart w:id="25" w:name="_Toc14482"/>
      <w:bookmarkStart w:id="26" w:name="_Toc15916"/>
      <w:bookmarkStart w:id="27" w:name="_Toc7298"/>
      <w:bookmarkStart w:id="28" w:name="_Toc151393374"/>
      <w:bookmarkStart w:id="29" w:name="_Toc24865"/>
      <w:r>
        <w:rPr>
          <w:rFonts w:hint="eastAsia" w:ascii="Times New Roman" w:hAnsi="Times New Roman" w:eastAsia="仿宋"/>
          <w:color w:val="auto"/>
          <w:highlight w:val="none"/>
        </w:rPr>
        <w:t>3</w:t>
      </w:r>
      <w:r>
        <w:rPr>
          <w:rFonts w:ascii="Times New Roman" w:hAnsi="Times New Roman" w:eastAsia="仿宋"/>
          <w:color w:val="auto"/>
          <w:highlight w:val="none"/>
        </w:rPr>
        <w:t>.</w:t>
      </w:r>
      <w:r>
        <w:rPr>
          <w:rFonts w:hint="eastAsia" w:ascii="Times New Roman" w:hAnsi="Times New Roman" w:eastAsia="仿宋"/>
          <w:color w:val="auto"/>
          <w:highlight w:val="none"/>
        </w:rPr>
        <w:t>资格审查方式</w:t>
      </w:r>
      <w:bookmarkEnd w:id="23"/>
    </w:p>
    <w:p w14:paraId="354F5F67">
      <w:pPr>
        <w:spacing w:line="360" w:lineRule="auto"/>
        <w:ind w:firstLine="480" w:firstLineChars="200"/>
        <w:jc w:val="left"/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  <w:t>资格后审</w:t>
      </w:r>
    </w:p>
    <w:p w14:paraId="302CB54C">
      <w:pPr>
        <w:pStyle w:val="5"/>
        <w:spacing w:line="360" w:lineRule="auto"/>
        <w:rPr>
          <w:rFonts w:ascii="楷体" w:hAnsi="楷体" w:eastAsia="楷体"/>
          <w:b w:val="0"/>
          <w:i/>
          <w:color w:val="auto"/>
          <w:sz w:val="24"/>
          <w:szCs w:val="24"/>
          <w:highlight w:val="none"/>
        </w:rPr>
      </w:pPr>
      <w:bookmarkStart w:id="30" w:name="_Toc23113"/>
      <w:r>
        <w:rPr>
          <w:rFonts w:ascii="Times New Roman" w:hAnsi="Times New Roman" w:eastAsia="仿宋"/>
          <w:color w:val="auto"/>
          <w:highlight w:val="none"/>
        </w:rPr>
        <w:t xml:space="preserve">4. </w:t>
      </w:r>
      <w:r>
        <w:rPr>
          <w:rFonts w:hint="eastAsia" w:ascii="Times New Roman" w:hAnsi="Times New Roman" w:eastAsia="仿宋"/>
          <w:color w:val="auto"/>
          <w:highlight w:val="none"/>
          <w:lang w:eastAsia="zh-CN"/>
        </w:rPr>
        <w:t>供应商</w:t>
      </w:r>
      <w:r>
        <w:rPr>
          <w:rFonts w:ascii="Times New Roman" w:hAnsi="Times New Roman" w:eastAsia="仿宋"/>
          <w:color w:val="auto"/>
          <w:highlight w:val="none"/>
        </w:rPr>
        <w:t>资格要求</w:t>
      </w:r>
      <w:bookmarkEnd w:id="24"/>
      <w:bookmarkEnd w:id="25"/>
      <w:bookmarkEnd w:id="26"/>
      <w:bookmarkEnd w:id="27"/>
      <w:bookmarkEnd w:id="28"/>
      <w:bookmarkEnd w:id="29"/>
      <w:bookmarkEnd w:id="30"/>
    </w:p>
    <w:p w14:paraId="3C0278DF">
      <w:pPr>
        <w:spacing w:line="360" w:lineRule="auto"/>
        <w:ind w:firstLine="480" w:firstLineChars="200"/>
        <w:jc w:val="left"/>
        <w:rPr>
          <w:rFonts w:ascii="Times New Roman" w:hAnsi="Times New Roman" w:eastAsia="仿宋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仿宋"/>
          <w:color w:val="auto"/>
          <w:sz w:val="24"/>
          <w:szCs w:val="24"/>
          <w:highlight w:val="none"/>
        </w:rPr>
        <w:t>4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>.1 资质要求：</w:t>
      </w:r>
    </w:p>
    <w:p w14:paraId="425791CF">
      <w:pPr>
        <w:spacing w:line="360" w:lineRule="auto"/>
        <w:ind w:firstLine="480" w:firstLineChars="200"/>
        <w:jc w:val="left"/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</w:rPr>
        <w:t>须具有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  <w:t>独立承担民事责任的能力（证明材料提供营业执照或事业单位法人登记证书）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，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</w:rPr>
        <w:t>并具备承担本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  <w:t>采购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</w:rPr>
        <w:t>项目的如下条件：</w:t>
      </w:r>
    </w:p>
    <w:p w14:paraId="2FC0B9BF">
      <w:pPr>
        <w:spacing w:line="360" w:lineRule="auto"/>
        <w:ind w:firstLine="480" w:firstLineChars="200"/>
        <w:jc w:val="left"/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</w:pPr>
      <w:r>
        <w:rPr>
          <w:rFonts w:ascii="Times New Roman" w:hAnsi="Times New Roman" w:eastAsia="仿宋"/>
          <w:color w:val="auto"/>
          <w:sz w:val="24"/>
          <w:szCs w:val="24"/>
          <w:highlight w:val="none"/>
        </w:rPr>
        <w:t>4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>.1.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  <w:t>须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持有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  <w:t>其本单位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有效CMA检验检测机构资质证书，以及全套有效的UN38.3 CNAS实验室认可证书。</w:t>
      </w:r>
    </w:p>
    <w:p w14:paraId="431CFB98">
      <w:pPr>
        <w:spacing w:line="360" w:lineRule="auto"/>
        <w:ind w:firstLine="480" w:firstLineChars="200"/>
        <w:jc w:val="left"/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</w:rPr>
        <w:t xml:space="preserve">4.2 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</w:rPr>
        <w:t>业绩要求：</w:t>
      </w:r>
    </w:p>
    <w:p w14:paraId="5BFF8BC4">
      <w:pPr>
        <w:spacing w:line="360" w:lineRule="auto"/>
        <w:ind w:firstLine="480" w:firstLineChars="200"/>
        <w:jc w:val="left"/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</w:rPr>
      </w:pP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</w:rPr>
        <w:t>自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  <w:t>2023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</w:rPr>
        <w:t>年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</w:rPr>
        <w:t>月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</w:rPr>
        <w:t>日至今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  <w:t>以合同签订时间为准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）供应商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  <w:t>至少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</w:rPr>
        <w:t>具备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val="en-US" w:eastAsia="zh-CN"/>
        </w:rPr>
        <w:t>1个合同金额不低于50万元的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</w:rPr>
        <w:t>锂电池 UN38.3认证相关业绩。</w:t>
      </w:r>
    </w:p>
    <w:p w14:paraId="1AFABDEB">
      <w:pPr>
        <w:spacing w:line="360" w:lineRule="auto"/>
        <w:ind w:firstLine="482" w:firstLineChars="200"/>
        <w:jc w:val="left"/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仿宋"/>
          <w:b/>
          <w:bCs/>
          <w:color w:val="auto"/>
          <w:sz w:val="24"/>
          <w:szCs w:val="24"/>
          <w:highlight w:val="none"/>
        </w:rPr>
        <w:t>业绩证明材料要求</w:t>
      </w:r>
      <w:r>
        <w:rPr>
          <w:rFonts w:ascii="Times New Roman" w:hAnsi="Times New Roman" w:eastAsia="仿宋" w:cs="Times New Roman"/>
          <w:b/>
          <w:bCs/>
          <w:color w:val="auto"/>
          <w:sz w:val="24"/>
          <w:szCs w:val="24"/>
          <w:highlight w:val="none"/>
        </w:rPr>
        <w:t>：</w:t>
      </w:r>
      <w:r>
        <w:rPr>
          <w:rFonts w:hint="eastAsia" w:ascii="Times New Roman" w:hAnsi="Times New Roman" w:eastAsia="仿宋" w:cs="Times New Roman"/>
          <w:b/>
          <w:bCs/>
          <w:color w:val="auto"/>
          <w:sz w:val="24"/>
          <w:szCs w:val="24"/>
          <w:highlight w:val="none"/>
          <w:lang w:eastAsia="zh-CN"/>
        </w:rPr>
        <w:t>供应商</w:t>
      </w:r>
      <w:r>
        <w:rPr>
          <w:rFonts w:hint="eastAsia" w:ascii="Times New Roman" w:hAnsi="Times New Roman" w:eastAsia="仿宋" w:cs="Times New Roman"/>
          <w:b/>
          <w:bCs/>
          <w:color w:val="auto"/>
          <w:sz w:val="24"/>
          <w:szCs w:val="24"/>
          <w:highlight w:val="none"/>
        </w:rPr>
        <w:t>须提供业绩合同扫描件。若合同中无法体现以上评审要素，还</w:t>
      </w:r>
      <w:r>
        <w:rPr>
          <w:rFonts w:hint="eastAsia" w:ascii="Times New Roman" w:hAnsi="Times New Roman" w:eastAsia="仿宋" w:cs="Times New Roman"/>
          <w:b/>
          <w:bCs/>
          <w:color w:val="auto"/>
          <w:sz w:val="24"/>
          <w:szCs w:val="24"/>
          <w:highlight w:val="none"/>
          <w:lang w:eastAsia="zh-CN"/>
        </w:rPr>
        <w:t>需</w:t>
      </w:r>
      <w:r>
        <w:rPr>
          <w:rFonts w:hint="eastAsia" w:ascii="Times New Roman" w:hAnsi="Times New Roman" w:eastAsia="仿宋" w:cs="Times New Roman"/>
          <w:b/>
          <w:bCs/>
          <w:color w:val="auto"/>
          <w:sz w:val="24"/>
          <w:szCs w:val="24"/>
          <w:highlight w:val="none"/>
        </w:rPr>
        <w:t>提供合同附件</w:t>
      </w:r>
      <w:r>
        <w:rPr>
          <w:rFonts w:hint="eastAsia" w:ascii="Times New Roman" w:hAnsi="Times New Roman" w:eastAsia="仿宋" w:cs="Times New Roman"/>
          <w:b/>
          <w:bCs/>
          <w:color w:val="auto"/>
          <w:sz w:val="24"/>
          <w:szCs w:val="24"/>
          <w:highlight w:val="none"/>
          <w:lang w:val="en-US" w:eastAsia="zh-CN"/>
        </w:rPr>
        <w:t>或发票</w:t>
      </w:r>
      <w:r>
        <w:rPr>
          <w:rFonts w:hint="eastAsia" w:ascii="Times New Roman" w:hAnsi="Times New Roman" w:eastAsia="仿宋" w:cs="Times New Roman"/>
          <w:b/>
          <w:bCs/>
          <w:color w:val="auto"/>
          <w:sz w:val="24"/>
          <w:szCs w:val="24"/>
          <w:highlight w:val="none"/>
        </w:rPr>
        <w:t>。</w:t>
      </w:r>
    </w:p>
    <w:p w14:paraId="1FEE8C72">
      <w:pPr>
        <w:spacing w:line="360" w:lineRule="auto"/>
        <w:ind w:firstLine="480" w:firstLineChars="200"/>
        <w:jc w:val="left"/>
        <w:rPr>
          <w:rFonts w:hint="eastAsia" w:ascii="Times New Roman" w:hAnsi="Times New Roman" w:eastAsia="仿宋"/>
          <w:color w:val="auto"/>
          <w:sz w:val="24"/>
          <w:szCs w:val="24"/>
          <w:highlight w:val="none"/>
          <w:lang w:val="en-US" w:eastAsia="zh-CN"/>
        </w:rPr>
      </w:pPr>
      <w:r>
        <w:rPr>
          <w:rFonts w:ascii="Times New Roman" w:hAnsi="Times New Roman" w:eastAsia="仿宋"/>
          <w:color w:val="auto"/>
          <w:sz w:val="24"/>
          <w:szCs w:val="24"/>
          <w:highlight w:val="none"/>
        </w:rPr>
        <w:t>4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>.</w:t>
      </w:r>
      <w:r>
        <w:rPr>
          <w:rFonts w:ascii="Times New Roman" w:hAnsi="Times New Roman" w:eastAsia="仿宋"/>
          <w:color w:val="auto"/>
          <w:sz w:val="24"/>
          <w:szCs w:val="24"/>
          <w:highlight w:val="none"/>
        </w:rPr>
        <w:t>3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 xml:space="preserve"> 财务要求：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  <w:lang w:val="en-US" w:eastAsia="zh-CN"/>
        </w:rPr>
        <w:t>/</w:t>
      </w:r>
    </w:p>
    <w:p w14:paraId="40A32AB7">
      <w:pPr>
        <w:spacing w:line="240" w:lineRule="auto"/>
        <w:ind w:firstLine="480" w:firstLineChars="200"/>
        <w:jc w:val="left"/>
        <w:rPr>
          <w:rFonts w:hint="eastAsia" w:ascii="Times New Roman" w:hAnsi="Times New Roman" w:eastAsia="仿宋" w:cs="Times New Roman"/>
          <w:bCs w:val="0"/>
          <w:snapToGrid/>
          <w:color w:val="auto"/>
          <w:kern w:val="2"/>
          <w:sz w:val="24"/>
          <w:szCs w:val="24"/>
          <w:highlight w:val="none"/>
          <w:lang w:val="en-US" w:eastAsia="zh-CN"/>
        </w:rPr>
      </w:pPr>
      <w:r>
        <w:rPr>
          <w:rFonts w:ascii="Times New Roman" w:hAnsi="Times New Roman" w:eastAsia="仿宋"/>
          <w:color w:val="auto"/>
          <w:sz w:val="24"/>
          <w:szCs w:val="24"/>
          <w:highlight w:val="none"/>
        </w:rPr>
        <w:t>4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>.</w:t>
      </w:r>
      <w:r>
        <w:rPr>
          <w:rFonts w:ascii="Times New Roman" w:hAnsi="Times New Roman" w:eastAsia="仿宋"/>
          <w:color w:val="auto"/>
          <w:sz w:val="24"/>
          <w:szCs w:val="24"/>
          <w:highlight w:val="none"/>
        </w:rPr>
        <w:t>4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 xml:space="preserve"> 本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  <w:lang w:eastAsia="zh-CN"/>
        </w:rPr>
        <w:t>采购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>项目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</w:rPr>
        <w:t>不接受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>联合体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  <w:lang w:eastAsia="zh-CN"/>
        </w:rPr>
        <w:t>响应。</w:t>
      </w:r>
    </w:p>
    <w:p w14:paraId="24D4472D">
      <w:pPr>
        <w:spacing w:line="360" w:lineRule="auto"/>
        <w:ind w:firstLine="480" w:firstLineChars="200"/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</w:rPr>
      </w:pPr>
      <w:r>
        <w:rPr>
          <w:rFonts w:hint="default" w:ascii="Times New Roman" w:hAnsi="Times New Roman" w:eastAsia="仿宋" w:cs="Times New Roman"/>
          <w:bCs w:val="0"/>
          <w:snapToGrid/>
          <w:color w:val="auto"/>
          <w:kern w:val="2"/>
          <w:sz w:val="24"/>
          <w:szCs w:val="24"/>
          <w:highlight w:val="none"/>
          <w:lang w:val="en-US" w:eastAsia="zh-CN"/>
        </w:rPr>
        <w:t>4.</w:t>
      </w:r>
      <w:r>
        <w:rPr>
          <w:rFonts w:hint="eastAsia" w:ascii="Times New Roman" w:hAnsi="Times New Roman" w:eastAsia="仿宋" w:cs="Times New Roman"/>
          <w:bCs w:val="0"/>
          <w:snapToGrid/>
          <w:color w:val="auto"/>
          <w:kern w:val="2"/>
          <w:sz w:val="24"/>
          <w:szCs w:val="24"/>
          <w:highlight w:val="none"/>
          <w:lang w:val="en-US" w:eastAsia="zh-CN"/>
        </w:rPr>
        <w:t xml:space="preserve">5 </w:t>
      </w: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</w:rPr>
        <w:t>单位负责人为同一人或者存在控股、管理关系的不同单位，不得参加同一</w:t>
      </w: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  <w:lang w:eastAsia="zh-CN"/>
        </w:rPr>
        <w:t>响应包响应</w:t>
      </w: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</w:rPr>
        <w:t>或者未划分</w:t>
      </w: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  <w:lang w:eastAsia="zh-CN"/>
        </w:rPr>
        <w:t>响应包</w:t>
      </w: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</w:rPr>
        <w:t>的同一</w:t>
      </w: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  <w:lang w:eastAsia="zh-CN"/>
        </w:rPr>
        <w:t>采购</w:t>
      </w: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</w:rPr>
        <w:t>项目</w:t>
      </w: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  <w:lang w:eastAsia="zh-CN"/>
        </w:rPr>
        <w:t>响应</w:t>
      </w: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</w:rPr>
        <w:t>；</w:t>
      </w:r>
    </w:p>
    <w:p w14:paraId="4E8D919B">
      <w:pPr>
        <w:spacing w:line="360" w:lineRule="auto"/>
        <w:ind w:firstLine="437"/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</w:rPr>
      </w:pPr>
      <w:r>
        <w:rPr>
          <w:rFonts w:hint="default" w:ascii="Times New Roman" w:hAnsi="Times New Roman" w:eastAsia="仿宋" w:cs="Times New Roman"/>
          <w:bCs w:val="0"/>
          <w:snapToGrid/>
          <w:color w:val="auto"/>
          <w:kern w:val="2"/>
          <w:sz w:val="24"/>
          <w:szCs w:val="24"/>
          <w:highlight w:val="none"/>
          <w:lang w:val="en-US" w:eastAsia="zh-CN"/>
        </w:rPr>
        <w:t>4.</w:t>
      </w:r>
      <w:r>
        <w:rPr>
          <w:rFonts w:hint="eastAsia" w:ascii="Times New Roman" w:hAnsi="Times New Roman" w:eastAsia="仿宋" w:cs="Times New Roman"/>
          <w:bCs w:val="0"/>
          <w:snapToGrid/>
          <w:color w:val="auto"/>
          <w:kern w:val="2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</w:rPr>
        <w:t>至递交</w:t>
      </w: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  <w:lang w:val="en-US" w:eastAsia="zh-CN"/>
        </w:rPr>
        <w:t>响应</w:t>
      </w: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</w:rPr>
        <w:t>文件截止时间止，</w:t>
      </w: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  <w:lang w:val="en-US" w:eastAsia="zh-CN"/>
        </w:rPr>
        <w:t>供应商</w:t>
      </w: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</w:rPr>
        <w:t>不得存在以下几种情形之一：</w:t>
      </w:r>
    </w:p>
    <w:p w14:paraId="1F116A6A">
      <w:pPr>
        <w:spacing w:line="360" w:lineRule="auto"/>
        <w:ind w:firstLine="437"/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</w:rPr>
        <w:t>①</w:t>
      </w: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highlight w:val="none"/>
        </w:rPr>
        <w:t>在国家企业信用信息公示系统（http://www.gsxt.gov.cn/）中被列入经营异常名录、严重违法失信企业名单</w:t>
      </w: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</w:rPr>
        <w:t>；</w:t>
      </w:r>
    </w:p>
    <w:p w14:paraId="0EF8E58D">
      <w:pPr>
        <w:spacing w:line="360" w:lineRule="auto"/>
        <w:ind w:firstLine="437"/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</w:rPr>
        <w:t>②在“信用中国”网站（http://www.creditchina.gov.cn/）中被列入</w:t>
      </w: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  <w:lang w:eastAsia="zh-CN"/>
        </w:rPr>
        <w:t>重大税收违法失信主体名单</w:t>
      </w: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</w:rPr>
        <w:t>；</w:t>
      </w:r>
    </w:p>
    <w:p w14:paraId="427C9414">
      <w:pPr>
        <w:spacing w:line="360" w:lineRule="auto"/>
        <w:ind w:firstLine="437"/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</w:rPr>
        <w:t>③</w:t>
      </w: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  <w:lang w:eastAsia="zh-CN"/>
        </w:rPr>
        <w:t>在</w:t>
      </w: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</w:rPr>
        <w:t>“信用中国”网站（http://www.creditchina.gov.cn/）</w:t>
      </w: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  <w:lang w:val="en-US" w:eastAsia="zh-CN"/>
        </w:rPr>
        <w:t>中被列入失信被执行人名单</w:t>
      </w: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</w:rPr>
        <w:t>。</w:t>
      </w:r>
    </w:p>
    <w:p w14:paraId="5B06F4D7">
      <w:pPr>
        <w:spacing w:line="460" w:lineRule="exact"/>
        <w:ind w:firstLine="437" w:firstLineChars="0"/>
        <w:jc w:val="left"/>
        <w:rPr>
          <w:rFonts w:hint="eastAsia" w:ascii="Times New Roman" w:hAnsi="Times New Roman" w:eastAsia="仿宋" w:cs="Times New Roman"/>
          <w:bCs w:val="0"/>
          <w:snapToGrid/>
          <w:color w:val="auto"/>
          <w:kern w:val="2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i w:val="0"/>
          <w:iCs w:val="0"/>
          <w:snapToGrid w:val="0"/>
          <w:color w:val="auto"/>
          <w:kern w:val="0"/>
          <w:sz w:val="24"/>
          <w:szCs w:val="24"/>
          <w:highlight w:val="none"/>
        </w:rPr>
        <w:t>注：</w:t>
      </w:r>
      <w:r>
        <w:rPr>
          <w:rFonts w:hint="eastAsia" w:ascii="仿宋" w:hAnsi="仿宋" w:eastAsia="仿宋" w:cs="仿宋"/>
          <w:b/>
          <w:bCs w:val="0"/>
          <w:snapToGrid w:val="0"/>
          <w:color w:val="auto"/>
          <w:kern w:val="0"/>
          <w:sz w:val="24"/>
          <w:szCs w:val="24"/>
          <w:highlight w:val="none"/>
          <w:lang w:val="en-US" w:eastAsia="zh-CN"/>
        </w:rPr>
        <w:t>以上以评审小组评审现场查询为准，如遇网站系统故障等其他原因导致无法查询，以供应商承诺函为准</w:t>
      </w:r>
      <w:r>
        <w:rPr>
          <w:rFonts w:hint="eastAsia" w:ascii="仿宋" w:hAnsi="仿宋" w:eastAsia="仿宋" w:cs="仿宋"/>
          <w:b/>
          <w:bCs w:val="0"/>
          <w:snapToGrid w:val="0"/>
          <w:color w:val="auto"/>
          <w:kern w:val="0"/>
          <w:sz w:val="24"/>
          <w:szCs w:val="24"/>
          <w:highlight w:val="none"/>
          <w:lang w:eastAsia="zh-CN"/>
        </w:rPr>
        <w:t>；</w:t>
      </w:r>
      <w:r>
        <w:rPr>
          <w:rFonts w:hint="eastAsia" w:ascii="仿宋" w:hAnsi="仿宋" w:eastAsia="仿宋" w:cs="仿宋"/>
          <w:b/>
          <w:i w:val="0"/>
          <w:iCs w:val="0"/>
          <w:snapToGrid w:val="0"/>
          <w:color w:val="auto"/>
          <w:kern w:val="0"/>
          <w:sz w:val="24"/>
          <w:szCs w:val="24"/>
          <w:highlight w:val="none"/>
        </w:rPr>
        <w:t>如</w:t>
      </w:r>
      <w:r>
        <w:rPr>
          <w:rFonts w:hint="eastAsia" w:ascii="仿宋" w:hAnsi="仿宋" w:eastAsia="仿宋" w:cs="仿宋"/>
          <w:b/>
          <w:i w:val="0"/>
          <w:iCs w:val="0"/>
          <w:snapToGrid w:val="0"/>
          <w:color w:val="auto"/>
          <w:kern w:val="0"/>
          <w:sz w:val="24"/>
          <w:szCs w:val="24"/>
          <w:highlight w:val="none"/>
          <w:lang w:eastAsia="zh-CN"/>
        </w:rPr>
        <w:t>供应商</w:t>
      </w:r>
      <w:r>
        <w:rPr>
          <w:rFonts w:hint="eastAsia" w:ascii="仿宋" w:hAnsi="仿宋" w:eastAsia="仿宋" w:cs="仿宋"/>
          <w:b/>
          <w:i w:val="0"/>
          <w:iCs w:val="0"/>
          <w:snapToGrid w:val="0"/>
          <w:color w:val="auto"/>
          <w:kern w:val="0"/>
          <w:sz w:val="24"/>
          <w:szCs w:val="24"/>
          <w:highlight w:val="none"/>
        </w:rPr>
        <w:t>承诺与实际不符，</w:t>
      </w:r>
      <w:r>
        <w:rPr>
          <w:rFonts w:hint="eastAsia" w:ascii="仿宋" w:hAnsi="仿宋" w:eastAsia="仿宋" w:cs="仿宋"/>
          <w:b/>
          <w:i w:val="0"/>
          <w:iCs w:val="0"/>
          <w:snapToGrid w:val="0"/>
          <w:color w:val="auto"/>
          <w:kern w:val="0"/>
          <w:sz w:val="24"/>
          <w:szCs w:val="24"/>
          <w:highlight w:val="none"/>
          <w:lang w:eastAsia="zh-CN"/>
        </w:rPr>
        <w:t>采购人</w:t>
      </w:r>
      <w:r>
        <w:rPr>
          <w:rFonts w:hint="eastAsia" w:ascii="仿宋" w:hAnsi="仿宋" w:eastAsia="仿宋" w:cs="仿宋"/>
          <w:b/>
          <w:i w:val="0"/>
          <w:iCs w:val="0"/>
          <w:snapToGrid w:val="0"/>
          <w:color w:val="auto"/>
          <w:kern w:val="0"/>
          <w:sz w:val="24"/>
          <w:szCs w:val="24"/>
          <w:highlight w:val="none"/>
        </w:rPr>
        <w:t>有权取消其</w:t>
      </w:r>
      <w:r>
        <w:rPr>
          <w:rFonts w:hint="eastAsia" w:ascii="仿宋" w:hAnsi="仿宋" w:eastAsia="仿宋" w:cs="仿宋"/>
          <w:b/>
          <w:i w:val="0"/>
          <w:iCs w:val="0"/>
          <w:snapToGrid w:val="0"/>
          <w:color w:val="auto"/>
          <w:kern w:val="0"/>
          <w:sz w:val="24"/>
          <w:szCs w:val="24"/>
          <w:highlight w:val="none"/>
          <w:lang w:eastAsia="zh-CN"/>
        </w:rPr>
        <w:t>成交</w:t>
      </w:r>
      <w:r>
        <w:rPr>
          <w:rFonts w:hint="eastAsia" w:ascii="仿宋" w:hAnsi="仿宋" w:eastAsia="仿宋" w:cs="仿宋"/>
          <w:b/>
          <w:i w:val="0"/>
          <w:iCs w:val="0"/>
          <w:snapToGrid w:val="0"/>
          <w:color w:val="auto"/>
          <w:kern w:val="0"/>
          <w:sz w:val="24"/>
          <w:szCs w:val="24"/>
          <w:highlight w:val="none"/>
        </w:rPr>
        <w:t>（或</w:t>
      </w:r>
      <w:r>
        <w:rPr>
          <w:rFonts w:hint="eastAsia" w:ascii="仿宋" w:hAnsi="仿宋" w:eastAsia="仿宋" w:cs="仿宋"/>
          <w:b/>
          <w:i w:val="0"/>
          <w:iCs w:val="0"/>
          <w:snapToGrid w:val="0"/>
          <w:color w:val="auto"/>
          <w:kern w:val="0"/>
          <w:sz w:val="24"/>
          <w:szCs w:val="24"/>
          <w:highlight w:val="none"/>
          <w:lang w:eastAsia="zh-CN"/>
        </w:rPr>
        <w:t>候选成交</w:t>
      </w:r>
      <w:r>
        <w:rPr>
          <w:rFonts w:hint="eastAsia" w:ascii="仿宋" w:hAnsi="仿宋" w:eastAsia="仿宋" w:cs="仿宋"/>
          <w:b/>
          <w:i w:val="0"/>
          <w:iCs w:val="0"/>
          <w:snapToGrid w:val="0"/>
          <w:color w:val="auto"/>
          <w:kern w:val="0"/>
          <w:sz w:val="24"/>
          <w:szCs w:val="24"/>
          <w:highlight w:val="none"/>
        </w:rPr>
        <w:t>）资格，并将报监管部门处理。</w:t>
      </w:r>
    </w:p>
    <w:p w14:paraId="7F2B8BE2">
      <w:pPr>
        <w:spacing w:line="360" w:lineRule="auto"/>
        <w:ind w:firstLine="480" w:firstLineChars="200"/>
        <w:rPr>
          <w:rFonts w:hAnsi="宋体" w:cs="宋体"/>
          <w:color w:val="auto"/>
          <w:highlight w:val="none"/>
          <w:u w:val="single"/>
        </w:rPr>
      </w:pPr>
      <w:r>
        <w:rPr>
          <w:rFonts w:ascii="Times New Roman" w:hAnsi="Times New Roman" w:eastAsia="仿宋"/>
          <w:color w:val="auto"/>
          <w:sz w:val="24"/>
          <w:szCs w:val="24"/>
          <w:highlight w:val="none"/>
        </w:rPr>
        <w:t>4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>.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  <w:lang w:val="en-US" w:eastAsia="zh-CN"/>
        </w:rPr>
        <w:t>7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 xml:space="preserve"> 其他要求：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  <w:lang w:val="en-US" w:eastAsia="zh-CN"/>
        </w:rPr>
        <w:t>/</w:t>
      </w:r>
    </w:p>
    <w:p w14:paraId="691AFDEC">
      <w:pPr>
        <w:pStyle w:val="5"/>
        <w:spacing w:line="360" w:lineRule="auto"/>
        <w:rPr>
          <w:rFonts w:ascii="Times New Roman" w:hAnsi="Times New Roman" w:eastAsia="仿宋"/>
          <w:color w:val="auto"/>
          <w:highlight w:val="none"/>
        </w:rPr>
      </w:pPr>
      <w:bookmarkStart w:id="31" w:name="_Toc30329"/>
      <w:bookmarkStart w:id="32" w:name="_Toc151393375"/>
      <w:bookmarkStart w:id="33" w:name="_Toc23947"/>
      <w:bookmarkStart w:id="34" w:name="_Toc4250"/>
      <w:bookmarkStart w:id="35" w:name="_Toc9057"/>
      <w:bookmarkStart w:id="36" w:name="_Toc28395"/>
      <w:bookmarkStart w:id="37" w:name="_Toc23034"/>
      <w:r>
        <w:rPr>
          <w:rFonts w:ascii="Times New Roman" w:hAnsi="Times New Roman" w:eastAsia="仿宋"/>
          <w:color w:val="auto"/>
          <w:highlight w:val="none"/>
        </w:rPr>
        <w:t xml:space="preserve">5. </w:t>
      </w:r>
      <w:r>
        <w:rPr>
          <w:rFonts w:hint="eastAsia" w:ascii="Times New Roman" w:hAnsi="Times New Roman" w:eastAsia="仿宋"/>
          <w:color w:val="auto"/>
          <w:highlight w:val="none"/>
          <w:lang w:eastAsia="zh-CN"/>
        </w:rPr>
        <w:t>采购</w:t>
      </w:r>
      <w:r>
        <w:rPr>
          <w:rFonts w:hint="eastAsia" w:ascii="Times New Roman" w:hAnsi="Times New Roman" w:eastAsia="仿宋"/>
          <w:color w:val="auto"/>
          <w:highlight w:val="none"/>
        </w:rPr>
        <w:t>文件的获取</w:t>
      </w:r>
      <w:bookmarkEnd w:id="31"/>
      <w:bookmarkEnd w:id="32"/>
      <w:bookmarkEnd w:id="33"/>
      <w:bookmarkEnd w:id="34"/>
      <w:bookmarkEnd w:id="35"/>
      <w:bookmarkEnd w:id="36"/>
      <w:bookmarkEnd w:id="37"/>
    </w:p>
    <w:p w14:paraId="4B903F4F">
      <w:pPr>
        <w:tabs>
          <w:tab w:val="left" w:pos="360"/>
        </w:tabs>
        <w:spacing w:line="360" w:lineRule="auto"/>
        <w:ind w:firstLine="480" w:firstLineChars="200"/>
        <w:jc w:val="left"/>
        <w:rPr>
          <w:rFonts w:ascii="Times New Roman" w:hAnsi="Times New Roman" w:eastAsia="仿宋"/>
          <w:color w:val="auto"/>
          <w:sz w:val="24"/>
          <w:szCs w:val="24"/>
          <w:highlight w:val="none"/>
        </w:rPr>
      </w:pPr>
      <w:bookmarkStart w:id="38" w:name="_Toc25533"/>
      <w:bookmarkStart w:id="39" w:name="_Toc26386"/>
      <w:bookmarkStart w:id="40" w:name="_Toc13489"/>
      <w:bookmarkStart w:id="41" w:name="_Toc28603"/>
      <w:bookmarkStart w:id="42" w:name="_Toc151393376"/>
      <w:bookmarkStart w:id="43" w:name="_Toc6160"/>
      <w:bookmarkStart w:id="44" w:name="_Toc5823"/>
      <w:r>
        <w:rPr>
          <w:rFonts w:ascii="Times New Roman" w:hAnsi="Times New Roman" w:eastAsia="仿宋"/>
          <w:color w:val="auto"/>
          <w:sz w:val="24"/>
          <w:szCs w:val="24"/>
          <w:highlight w:val="none"/>
        </w:rPr>
        <w:t>5.1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 xml:space="preserve">获取时间： 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lang w:val="en-US" w:eastAsia="zh-CN"/>
        </w:rPr>
        <w:t>2026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>年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lang w:val="en-US" w:eastAsia="zh-CN"/>
        </w:rPr>
        <w:t>9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>月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lang w:val="en-US" w:eastAsia="zh-CN"/>
        </w:rPr>
        <w:t>7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>日至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lang w:val="en-US" w:eastAsia="zh-CN"/>
        </w:rPr>
        <w:t>2026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>年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lang w:val="en-US" w:eastAsia="zh-CN"/>
        </w:rPr>
        <w:t>9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>月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lang w:val="en-US" w:eastAsia="zh-CN"/>
        </w:rPr>
        <w:t>14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>日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lang w:val="en-US" w:eastAsia="zh-CN"/>
        </w:rPr>
        <w:t>17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>时</w:t>
      </w:r>
      <w:r>
        <w:rPr>
          <w:rFonts w:hint="eastAsia" w:ascii="仿宋" w:hAnsi="仿宋" w:eastAsia="仿宋" w:cs="Times New Roman"/>
          <w:color w:val="auto"/>
          <w:sz w:val="24"/>
          <w:szCs w:val="24"/>
          <w:highlight w:val="none"/>
          <w:lang w:val="en-US" w:eastAsia="zh-CN"/>
        </w:rPr>
        <w:t>00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>分。</w:t>
      </w:r>
    </w:p>
    <w:p w14:paraId="59875627">
      <w:pPr>
        <w:tabs>
          <w:tab w:val="left" w:pos="360"/>
        </w:tabs>
        <w:spacing w:line="360" w:lineRule="auto"/>
        <w:ind w:firstLine="480" w:firstLineChars="200"/>
        <w:jc w:val="left"/>
        <w:rPr>
          <w:rFonts w:ascii="Times New Roman" w:hAnsi="Times New Roman" w:eastAsia="仿宋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仿宋"/>
          <w:color w:val="auto"/>
          <w:sz w:val="24"/>
          <w:szCs w:val="24"/>
          <w:highlight w:val="none"/>
        </w:rPr>
        <w:t>5.2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>获取方式：凡有意参加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  <w:lang w:eastAsia="zh-CN"/>
        </w:rPr>
        <w:t>响应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>者，请在规定时间内登录“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安天e采电子交易系统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>”</w:t>
      </w:r>
      <w:r>
        <w:rPr>
          <w:rFonts w:ascii="Times New Roman" w:hAnsi="Times New Roman" w:eastAsia="仿宋"/>
          <w:color w:val="auto"/>
          <w:sz w:val="24"/>
          <w:szCs w:val="24"/>
          <w:highlight w:val="none"/>
        </w:rPr>
        <w:fldChar w:fldCharType="begin"/>
      </w:r>
      <w:r>
        <w:rPr>
          <w:rFonts w:ascii="Times New Roman" w:hAnsi="Times New Roman" w:eastAsia="仿宋"/>
          <w:color w:val="auto"/>
          <w:sz w:val="24"/>
          <w:szCs w:val="24"/>
          <w:highlight w:val="none"/>
        </w:rPr>
        <w:instrText xml:space="preserve"> HYPERLINK "http://www.youzhicai.com）购买并下载招标文件。" </w:instrText>
      </w:r>
      <w:r>
        <w:rPr>
          <w:rFonts w:ascii="Times New Roman" w:hAnsi="Times New Roman" w:eastAsia="仿宋"/>
          <w:color w:val="auto"/>
          <w:sz w:val="24"/>
          <w:szCs w:val="24"/>
          <w:highlight w:val="none"/>
        </w:rPr>
        <w:fldChar w:fldCharType="separate"/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>（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lang w:eastAsia="zh-CN"/>
        </w:rPr>
        <w:t>https://www.xinecai.com/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>）购买并下载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  <w:lang w:eastAsia="zh-CN"/>
        </w:rPr>
        <w:t>采购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>文件。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fldChar w:fldCharType="end"/>
      </w:r>
    </w:p>
    <w:p w14:paraId="10DA115E">
      <w:pPr>
        <w:tabs>
          <w:tab w:val="left" w:pos="360"/>
        </w:tabs>
        <w:spacing w:line="360" w:lineRule="auto"/>
        <w:ind w:firstLine="480" w:firstLineChars="200"/>
        <w:jc w:val="left"/>
        <w:rPr>
          <w:rFonts w:ascii="Times New Roman" w:hAnsi="Times New Roman" w:eastAsia="仿宋"/>
          <w:color w:val="auto"/>
          <w:sz w:val="24"/>
          <w:szCs w:val="24"/>
          <w:highlight w:val="none"/>
        </w:rPr>
      </w:pP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>售价：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  <w:lang w:val="en-US" w:eastAsia="zh-CN"/>
        </w:rPr>
        <w:t>400元/份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>，售后不退。</w:t>
      </w:r>
    </w:p>
    <w:p w14:paraId="40B119CE">
      <w:pPr>
        <w:pStyle w:val="5"/>
        <w:spacing w:line="360" w:lineRule="auto"/>
        <w:rPr>
          <w:rFonts w:ascii="Times New Roman" w:hAnsi="Times New Roman"/>
          <w:b w:val="0"/>
          <w:color w:val="auto"/>
          <w:sz w:val="24"/>
          <w:highlight w:val="none"/>
        </w:rPr>
      </w:pPr>
      <w:r>
        <w:rPr>
          <w:rFonts w:ascii="Times New Roman" w:hAnsi="Times New Roman" w:eastAsia="仿宋"/>
          <w:color w:val="auto"/>
          <w:highlight w:val="none"/>
        </w:rPr>
        <w:t xml:space="preserve">6. </w:t>
      </w:r>
      <w:r>
        <w:rPr>
          <w:rFonts w:hint="eastAsia" w:ascii="Times New Roman" w:hAnsi="Times New Roman" w:eastAsia="仿宋"/>
          <w:color w:val="auto"/>
          <w:highlight w:val="none"/>
          <w:lang w:eastAsia="zh-CN"/>
        </w:rPr>
        <w:t>响应文件</w:t>
      </w:r>
      <w:r>
        <w:rPr>
          <w:rFonts w:hint="eastAsia" w:ascii="Times New Roman" w:hAnsi="Times New Roman" w:eastAsia="仿宋"/>
          <w:color w:val="auto"/>
          <w:highlight w:val="none"/>
        </w:rPr>
        <w:t>的递交</w:t>
      </w:r>
      <w:bookmarkEnd w:id="38"/>
      <w:bookmarkEnd w:id="39"/>
      <w:bookmarkEnd w:id="40"/>
      <w:bookmarkEnd w:id="41"/>
      <w:bookmarkEnd w:id="42"/>
      <w:bookmarkEnd w:id="43"/>
      <w:bookmarkEnd w:id="44"/>
    </w:p>
    <w:p w14:paraId="5A05A519">
      <w:pPr>
        <w:tabs>
          <w:tab w:val="left" w:pos="360"/>
        </w:tabs>
        <w:spacing w:line="360" w:lineRule="auto"/>
        <w:ind w:firstLine="480" w:firstLineChars="200"/>
        <w:jc w:val="left"/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仿宋"/>
          <w:color w:val="auto"/>
          <w:sz w:val="24"/>
          <w:szCs w:val="24"/>
          <w:highlight w:val="none"/>
        </w:rPr>
        <w:t>6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>.1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  <w:lang w:eastAsia="zh-CN"/>
        </w:rPr>
        <w:t>响应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>文件递交截止时间（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  <w:lang w:eastAsia="zh-CN"/>
        </w:rPr>
        <w:t>响应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>截止时间，下同）：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lang w:val="en-US" w:eastAsia="zh-CN"/>
        </w:rPr>
        <w:t>2026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>年</w:t>
      </w:r>
      <w:r>
        <w:rPr>
          <w:rFonts w:hint="eastAsia" w:ascii="Times New Roman" w:hAnsi="Times New Roman" w:eastAsia="仿宋"/>
          <w:b w:val="0"/>
          <w:bCs w:val="0"/>
          <w:color w:val="auto"/>
          <w:sz w:val="24"/>
          <w:szCs w:val="24"/>
          <w:highlight w:val="none"/>
          <w:lang w:val="en-US" w:eastAsia="zh-CN"/>
        </w:rPr>
        <w:t>9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>月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lang w:val="en-US" w:eastAsia="zh-CN"/>
        </w:rPr>
        <w:t>29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>日</w:t>
      </w:r>
      <w:r>
        <w:rPr>
          <w:rFonts w:hint="eastAsia" w:ascii="仿宋" w:hAnsi="仿宋" w:eastAsia="仿宋"/>
          <w:color w:val="auto"/>
          <w:sz w:val="24"/>
          <w:szCs w:val="24"/>
          <w:highlight w:val="none"/>
          <w:lang w:val="en-US" w:eastAsia="zh-CN"/>
        </w:rPr>
        <w:t>09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>时</w:t>
      </w:r>
      <w:r>
        <w:rPr>
          <w:rFonts w:hint="eastAsia" w:ascii="仿宋" w:hAnsi="仿宋" w:eastAsia="仿宋" w:cs="Times New Roman"/>
          <w:color w:val="auto"/>
          <w:sz w:val="24"/>
          <w:szCs w:val="24"/>
          <w:highlight w:val="none"/>
          <w:lang w:val="en-US" w:eastAsia="zh-CN"/>
        </w:rPr>
        <w:t>30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>分。</w:t>
      </w:r>
    </w:p>
    <w:p w14:paraId="1C51E47C">
      <w:pPr>
        <w:tabs>
          <w:tab w:val="left" w:pos="360"/>
        </w:tabs>
        <w:spacing w:line="360" w:lineRule="auto"/>
        <w:ind w:firstLine="480" w:firstLineChars="200"/>
        <w:jc w:val="left"/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仿宋"/>
          <w:color w:val="auto"/>
          <w:sz w:val="24"/>
          <w:szCs w:val="24"/>
          <w:highlight w:val="none"/>
        </w:rPr>
        <w:t>6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>.2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  <w:lang w:eastAsia="zh-CN"/>
        </w:rPr>
        <w:t>响应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>文件递交地点：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  <w:lang w:val="en-US" w:eastAsia="zh-CN"/>
        </w:rPr>
        <w:t>安天e采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>电子交易系统</w:t>
      </w:r>
    </w:p>
    <w:p w14:paraId="289CBF27">
      <w:pPr>
        <w:pStyle w:val="5"/>
        <w:numPr>
          <w:ilvl w:val="0"/>
          <w:numId w:val="0"/>
        </w:numPr>
        <w:spacing w:line="360" w:lineRule="auto"/>
        <w:ind w:left="0"/>
        <w:rPr>
          <w:rFonts w:hint="eastAsia" w:ascii="Times New Roman" w:hAnsi="Times New Roman" w:eastAsia="仿宋"/>
          <w:color w:val="auto"/>
          <w:highlight w:val="none"/>
          <w:lang w:val="en-US" w:eastAsia="zh-CN"/>
        </w:rPr>
      </w:pPr>
      <w:r>
        <w:rPr>
          <w:rFonts w:hint="eastAsia" w:ascii="Times New Roman" w:hAnsi="Times New Roman" w:eastAsia="仿宋"/>
          <w:color w:val="auto"/>
          <w:highlight w:val="none"/>
          <w:lang w:val="en-US" w:eastAsia="zh-CN"/>
        </w:rPr>
        <w:t>7.评审办法</w:t>
      </w:r>
    </w:p>
    <w:p w14:paraId="61CFF9CF">
      <w:pPr>
        <w:tabs>
          <w:tab w:val="left" w:pos="360"/>
        </w:tabs>
        <w:spacing w:line="360" w:lineRule="auto"/>
        <w:ind w:firstLine="480" w:firstLineChars="200"/>
        <w:jc w:val="left"/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</w:pPr>
      <w:r>
        <w:rPr>
          <w:rFonts w:hint="eastAsia" w:ascii="Times New Roman" w:hAnsi="Times New Roman" w:eastAsia="仿宋" w:cs="Times New Roman"/>
          <w:bCs w:val="0"/>
          <w:snapToGrid/>
          <w:color w:val="auto"/>
          <w:sz w:val="24"/>
          <w:szCs w:val="24"/>
          <w:highlight w:val="none"/>
        </w:rPr>
        <w:t>本项目评</w:t>
      </w:r>
      <w:r>
        <w:rPr>
          <w:rFonts w:hint="eastAsia" w:ascii="Times New Roman" w:hAnsi="Times New Roman" w:eastAsia="仿宋" w:cs="Times New Roman"/>
          <w:bCs w:val="0"/>
          <w:snapToGrid/>
          <w:color w:val="auto"/>
          <w:sz w:val="24"/>
          <w:szCs w:val="24"/>
          <w:highlight w:val="none"/>
          <w:lang w:val="en-US" w:eastAsia="zh-CN"/>
        </w:rPr>
        <w:t>审</w:t>
      </w:r>
      <w:r>
        <w:rPr>
          <w:rFonts w:hint="eastAsia" w:ascii="Times New Roman" w:hAnsi="Times New Roman" w:eastAsia="仿宋" w:cs="Times New Roman"/>
          <w:bCs w:val="0"/>
          <w:snapToGrid/>
          <w:color w:val="auto"/>
          <w:sz w:val="24"/>
          <w:szCs w:val="24"/>
          <w:highlight w:val="none"/>
        </w:rPr>
        <w:t>办法采用</w:t>
      </w:r>
      <w:r>
        <w:rPr>
          <w:rFonts w:hint="eastAsia" w:ascii="仿宋" w:hAnsi="仿宋" w:eastAsia="仿宋" w:cs="Times New Roman"/>
          <w:color w:val="auto"/>
          <w:sz w:val="24"/>
          <w:szCs w:val="24"/>
          <w:highlight w:val="none"/>
          <w:u w:val="none"/>
          <w:lang w:val="en-US" w:eastAsia="zh-CN"/>
        </w:rPr>
        <w:t>综合评估法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highlight w:val="none"/>
          <w:u w:val="none"/>
          <w:lang w:eastAsia="zh-CN"/>
        </w:rPr>
        <w:t>。</w:t>
      </w:r>
      <w:bookmarkStart w:id="45" w:name="_Hlk110266409"/>
      <w:r>
        <w:rPr>
          <w:rFonts w:hint="eastAsia" w:ascii="Times New Roman" w:hAnsi="Times New Roman" w:eastAsia="仿宋" w:cs="Times New Roman"/>
          <w:bCs w:val="0"/>
          <w:snapToGrid/>
          <w:color w:val="auto"/>
          <w:sz w:val="24"/>
          <w:szCs w:val="24"/>
          <w:highlight w:val="none"/>
          <w:lang w:eastAsia="zh-CN"/>
        </w:rPr>
        <w:t>（</w:t>
      </w:r>
      <w:r>
        <w:rPr>
          <w:rFonts w:hint="eastAsia" w:ascii="Times New Roman" w:hAnsi="Times New Roman" w:eastAsia="仿宋" w:cs="Times New Roman"/>
          <w:bCs w:val="0"/>
          <w:snapToGrid/>
          <w:color w:val="auto"/>
          <w:sz w:val="24"/>
          <w:szCs w:val="24"/>
          <w:highlight w:val="none"/>
        </w:rPr>
        <w:t>见</w:t>
      </w:r>
      <w:r>
        <w:rPr>
          <w:rFonts w:hint="eastAsia" w:ascii="Times New Roman" w:hAnsi="Times New Roman" w:eastAsia="仿宋" w:cs="Times New Roman"/>
          <w:bCs w:val="0"/>
          <w:snapToGrid/>
          <w:color w:val="auto"/>
          <w:sz w:val="24"/>
          <w:szCs w:val="24"/>
          <w:highlight w:val="none"/>
          <w:lang w:val="en-US" w:eastAsia="zh-CN"/>
        </w:rPr>
        <w:t>采购</w:t>
      </w:r>
      <w:r>
        <w:rPr>
          <w:rFonts w:hint="eastAsia" w:ascii="Times New Roman" w:hAnsi="Times New Roman" w:eastAsia="仿宋" w:cs="Times New Roman"/>
          <w:bCs w:val="0"/>
          <w:snapToGrid/>
          <w:color w:val="auto"/>
          <w:sz w:val="24"/>
          <w:szCs w:val="24"/>
          <w:highlight w:val="none"/>
        </w:rPr>
        <w:t>文件第三章“评</w:t>
      </w:r>
      <w:r>
        <w:rPr>
          <w:rFonts w:hint="eastAsia" w:ascii="Times New Roman" w:hAnsi="Times New Roman" w:eastAsia="仿宋" w:cs="Times New Roman"/>
          <w:bCs w:val="0"/>
          <w:snapToGrid/>
          <w:color w:val="auto"/>
          <w:sz w:val="24"/>
          <w:szCs w:val="24"/>
          <w:highlight w:val="none"/>
          <w:lang w:val="en-US" w:eastAsia="zh-CN"/>
        </w:rPr>
        <w:t>审</w:t>
      </w:r>
      <w:r>
        <w:rPr>
          <w:rFonts w:hint="eastAsia" w:ascii="Times New Roman" w:hAnsi="Times New Roman" w:eastAsia="仿宋" w:cs="Times New Roman"/>
          <w:bCs w:val="0"/>
          <w:snapToGrid/>
          <w:color w:val="auto"/>
          <w:sz w:val="24"/>
          <w:szCs w:val="24"/>
          <w:highlight w:val="none"/>
        </w:rPr>
        <w:t>办法”</w:t>
      </w:r>
      <w:bookmarkEnd w:id="45"/>
      <w:r>
        <w:rPr>
          <w:rFonts w:hint="eastAsia" w:ascii="Times New Roman" w:hAnsi="Times New Roman" w:eastAsia="仿宋" w:cs="Times New Roman"/>
          <w:bCs w:val="0"/>
          <w:snapToGrid/>
          <w:color w:val="auto"/>
          <w:sz w:val="24"/>
          <w:szCs w:val="24"/>
          <w:highlight w:val="none"/>
          <w:lang w:eastAsia="zh-CN"/>
        </w:rPr>
        <w:t>）</w:t>
      </w:r>
    </w:p>
    <w:p w14:paraId="3B0389DF">
      <w:pPr>
        <w:pStyle w:val="5"/>
        <w:spacing w:line="360" w:lineRule="auto"/>
        <w:rPr>
          <w:rFonts w:ascii="Times New Roman" w:hAnsi="Times New Roman" w:eastAsia="仿宋"/>
          <w:color w:val="auto"/>
          <w:highlight w:val="none"/>
        </w:rPr>
      </w:pPr>
      <w:bookmarkStart w:id="46" w:name="_Toc16310"/>
      <w:r>
        <w:rPr>
          <w:rFonts w:hint="eastAsia" w:ascii="Times New Roman" w:hAnsi="Times New Roman" w:eastAsia="仿宋"/>
          <w:color w:val="auto"/>
          <w:highlight w:val="none"/>
          <w:lang w:val="en-US" w:eastAsia="zh-CN"/>
        </w:rPr>
        <w:t>8</w:t>
      </w:r>
      <w:r>
        <w:rPr>
          <w:rFonts w:hint="eastAsia" w:ascii="Times New Roman" w:hAnsi="Times New Roman" w:eastAsia="仿宋"/>
          <w:color w:val="auto"/>
          <w:highlight w:val="none"/>
        </w:rPr>
        <w:t xml:space="preserve">. </w:t>
      </w:r>
      <w:r>
        <w:rPr>
          <w:rFonts w:hint="eastAsia" w:ascii="Times New Roman" w:hAnsi="Times New Roman" w:eastAsia="仿宋"/>
          <w:color w:val="auto"/>
          <w:highlight w:val="none"/>
          <w:lang w:val="en-US" w:eastAsia="zh-CN"/>
        </w:rPr>
        <w:t>响应文件开启</w:t>
      </w:r>
      <w:r>
        <w:rPr>
          <w:rFonts w:hint="eastAsia" w:ascii="Times New Roman" w:hAnsi="Times New Roman" w:eastAsia="仿宋"/>
          <w:color w:val="auto"/>
          <w:highlight w:val="none"/>
          <w:lang w:eastAsia="zh-CN"/>
        </w:rPr>
        <w:t>时间</w:t>
      </w:r>
      <w:r>
        <w:rPr>
          <w:rFonts w:hint="eastAsia" w:ascii="Times New Roman" w:hAnsi="Times New Roman" w:eastAsia="仿宋"/>
          <w:color w:val="auto"/>
          <w:highlight w:val="none"/>
        </w:rPr>
        <w:t>及地点</w:t>
      </w:r>
      <w:bookmarkEnd w:id="46"/>
    </w:p>
    <w:p w14:paraId="6DD7EE23">
      <w:pPr>
        <w:snapToGrid w:val="0"/>
        <w:spacing w:line="360" w:lineRule="auto"/>
        <w:ind w:firstLine="480" w:firstLineChars="200"/>
        <w:rPr>
          <w:rFonts w:ascii="Times New Roman" w:hAnsi="Times New Roman" w:eastAsia="仿宋"/>
          <w:color w:val="auto"/>
          <w:sz w:val="24"/>
          <w:szCs w:val="24"/>
          <w:highlight w:val="none"/>
        </w:rPr>
      </w:pPr>
      <w:bookmarkStart w:id="47" w:name="_Toc19455"/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  <w:lang w:val="en-US" w:eastAsia="zh-CN"/>
        </w:rPr>
        <w:t>8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 xml:space="preserve">.1 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  <w:lang w:val="en-US" w:eastAsia="zh-CN"/>
        </w:rPr>
        <w:t>响应文件开启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  <w:lang w:eastAsia="zh-CN"/>
        </w:rPr>
        <w:t>时间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>：同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  <w:lang w:eastAsia="zh-CN"/>
        </w:rPr>
        <w:t>响应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>文件递交截止时间。</w:t>
      </w:r>
    </w:p>
    <w:p w14:paraId="6ACA1284">
      <w:pPr>
        <w:tabs>
          <w:tab w:val="left" w:pos="360"/>
        </w:tabs>
        <w:spacing w:line="360" w:lineRule="auto"/>
        <w:ind w:firstLine="480" w:firstLineChars="200"/>
        <w:jc w:val="left"/>
        <w:rPr>
          <w:rFonts w:hint="default" w:ascii="Times New Roman" w:hAnsi="Times New Roman" w:eastAsia="仿宋"/>
          <w:color w:val="auto"/>
          <w:sz w:val="24"/>
          <w:szCs w:val="24"/>
          <w:highlight w:val="none"/>
          <w:lang w:val="en-US"/>
        </w:rPr>
      </w:pP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  <w:lang w:val="en-US" w:eastAsia="zh-CN"/>
        </w:rPr>
        <w:t>8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 xml:space="preserve">.2 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  <w:lang w:val="en-US" w:eastAsia="zh-CN"/>
        </w:rPr>
        <w:t>响应文件开启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  <w:lang w:eastAsia="zh-CN"/>
        </w:rPr>
        <w:t>地点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</w:rPr>
        <w:t>：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  <w:lang w:val="en-US" w:eastAsia="zh-CN"/>
        </w:rPr>
        <w:t>安天e采在线开标系统。</w:t>
      </w:r>
    </w:p>
    <w:p w14:paraId="18E7FFF0">
      <w:pPr>
        <w:pStyle w:val="5"/>
        <w:spacing w:line="360" w:lineRule="auto"/>
        <w:rPr>
          <w:rFonts w:ascii="Times New Roman" w:hAnsi="Times New Roman" w:eastAsia="仿宋"/>
          <w:color w:val="auto"/>
          <w:highlight w:val="none"/>
        </w:rPr>
      </w:pPr>
      <w:r>
        <w:rPr>
          <w:rFonts w:hint="eastAsia" w:ascii="Times New Roman" w:hAnsi="Times New Roman" w:eastAsia="仿宋"/>
          <w:color w:val="auto"/>
          <w:highlight w:val="none"/>
          <w:lang w:val="en-US" w:eastAsia="zh-CN"/>
        </w:rPr>
        <w:t>9</w:t>
      </w:r>
      <w:r>
        <w:rPr>
          <w:rFonts w:ascii="Times New Roman" w:hAnsi="Times New Roman" w:eastAsia="仿宋"/>
          <w:color w:val="auto"/>
          <w:highlight w:val="none"/>
        </w:rPr>
        <w:t xml:space="preserve">. </w:t>
      </w:r>
      <w:r>
        <w:rPr>
          <w:rFonts w:hint="eastAsia" w:ascii="Times New Roman" w:hAnsi="Times New Roman" w:eastAsia="仿宋"/>
          <w:color w:val="auto"/>
          <w:highlight w:val="none"/>
        </w:rPr>
        <w:t>发布公告的媒介</w:t>
      </w:r>
      <w:bookmarkEnd w:id="47"/>
    </w:p>
    <w:p w14:paraId="37ADA2EF">
      <w:pPr>
        <w:spacing w:line="360" w:lineRule="auto"/>
        <w:ind w:firstLine="480" w:firstLineChars="200"/>
        <w:rPr>
          <w:rFonts w:ascii="Times New Roman" w:hAnsi="Times New Roman" w:eastAsia="仿宋"/>
          <w:color w:val="auto"/>
          <w:sz w:val="24"/>
          <w:szCs w:val="24"/>
          <w:highlight w:val="none"/>
        </w:rPr>
      </w:pPr>
      <w:r>
        <w:rPr>
          <w:rFonts w:ascii="Times New Roman" w:hAnsi="Times New Roman" w:eastAsia="仿宋"/>
          <w:color w:val="auto"/>
          <w:sz w:val="24"/>
          <w:szCs w:val="24"/>
          <w:highlight w:val="none"/>
        </w:rPr>
        <w:t>本次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  <w:lang w:eastAsia="zh-CN"/>
        </w:rPr>
        <w:t>采购公告</w:t>
      </w:r>
      <w:r>
        <w:rPr>
          <w:rFonts w:ascii="Times New Roman" w:hAnsi="Times New Roman" w:eastAsia="仿宋"/>
          <w:color w:val="auto"/>
          <w:sz w:val="24"/>
          <w:szCs w:val="24"/>
          <w:highlight w:val="none"/>
        </w:rPr>
        <w:t>同时在</w:t>
      </w:r>
      <w:r>
        <w:rPr>
          <w:rFonts w:ascii="仿宋" w:hAnsi="仿宋" w:eastAsia="仿宋" w:cs="仿宋"/>
          <w:color w:val="auto"/>
          <w:sz w:val="24"/>
          <w:szCs w:val="24"/>
          <w:highlight w:val="none"/>
          <w:shd w:val="clear" w:color="auto" w:fill="FFFFFF"/>
        </w:rPr>
        <w:t>安徽省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>招标投标</w:t>
      </w:r>
      <w:r>
        <w:rPr>
          <w:rFonts w:ascii="仿宋" w:hAnsi="仿宋" w:eastAsia="仿宋" w:cs="仿宋"/>
          <w:color w:val="auto"/>
          <w:sz w:val="24"/>
          <w:szCs w:val="24"/>
          <w:highlight w:val="none"/>
          <w:shd w:val="clear" w:color="auto" w:fill="FFFFFF"/>
        </w:rPr>
        <w:t>信息网（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shd w:val="clear" w:color="auto" w:fill="FFFFFF"/>
        </w:rPr>
        <w:t>www.ahtba.org.cn）、中国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shd w:val="clear" w:color="auto" w:fill="FFFFFF"/>
          <w:lang w:val="en-US" w:eastAsia="zh-CN"/>
        </w:rPr>
        <w:t>招标投标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shd w:val="clear" w:color="auto" w:fill="FFFFFF"/>
        </w:rPr>
        <w:t>公共服务平台（www.cebpubservice.com）、</w:t>
      </w:r>
      <w:r>
        <w:rPr>
          <w:rFonts w:hint="eastAsia" w:ascii="Times New Roman" w:hAnsi="Times New Roman" w:eastAsia="仿宋"/>
          <w:color w:val="auto"/>
          <w:sz w:val="24"/>
          <w:szCs w:val="24"/>
          <w:highlight w:val="none"/>
          <w:lang w:val="en-US" w:eastAsia="zh-CN"/>
        </w:rPr>
        <w:t>安天e采招标采购电子交易系统（https://www.xinecai.com）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shd w:val="clear" w:color="auto" w:fill="FFFFFF"/>
        </w:rPr>
        <w:t>上发布</w:t>
      </w:r>
      <w:r>
        <w:rPr>
          <w:rFonts w:ascii="Times New Roman" w:hAnsi="Times New Roman" w:eastAsia="仿宋"/>
          <w:color w:val="auto"/>
          <w:sz w:val="24"/>
          <w:szCs w:val="24"/>
          <w:highlight w:val="none"/>
        </w:rPr>
        <w:t>。</w:t>
      </w:r>
    </w:p>
    <w:p w14:paraId="0F24796A">
      <w:pPr>
        <w:pStyle w:val="5"/>
        <w:spacing w:line="360" w:lineRule="auto"/>
        <w:rPr>
          <w:rFonts w:hint="default" w:ascii="Times New Roman" w:hAnsi="Times New Roman" w:eastAsia="仿宋" w:cs="Times New Roman"/>
          <w:b/>
          <w:bCs w:val="0"/>
          <w:snapToGrid/>
          <w:color w:val="auto"/>
          <w:kern w:val="2"/>
          <w:sz w:val="32"/>
          <w:szCs w:val="20"/>
          <w:highlight w:val="none"/>
        </w:rPr>
      </w:pPr>
      <w:r>
        <w:rPr>
          <w:rFonts w:hint="eastAsia" w:ascii="Times New Roman" w:hAnsi="Times New Roman" w:eastAsia="仿宋" w:cs="Times New Roman"/>
          <w:b/>
          <w:bCs w:val="0"/>
          <w:color w:val="auto"/>
          <w:sz w:val="32"/>
          <w:highlight w:val="none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b/>
          <w:bCs w:val="0"/>
          <w:color w:val="auto"/>
          <w:sz w:val="32"/>
          <w:highlight w:val="none"/>
        </w:rPr>
        <w:t>.联系方式</w:t>
      </w:r>
    </w:p>
    <w:p w14:paraId="6F6F3E2A">
      <w:pPr>
        <w:spacing w:line="360" w:lineRule="auto"/>
        <w:ind w:firstLine="480" w:firstLineChars="200"/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</w:rPr>
        <w:t>.1 采购人</w:t>
      </w:r>
    </w:p>
    <w:p w14:paraId="145F1967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采 购 人：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eastAsia="zh-CN"/>
        </w:rPr>
        <w:t>安徽和鼎机电设备有限公司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</w:t>
      </w:r>
    </w:p>
    <w:p w14:paraId="72956055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地    址：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安徽省合肥市肥西县经开区汤口路 40 号   </w:t>
      </w:r>
    </w:p>
    <w:p w14:paraId="715710AC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联 系 人：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>郑工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</w:t>
      </w:r>
    </w:p>
    <w:p w14:paraId="647550E2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电    话：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>13395690861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</w:t>
      </w:r>
    </w:p>
    <w:p w14:paraId="539CE026">
      <w:pPr>
        <w:spacing w:line="360" w:lineRule="auto"/>
        <w:ind w:firstLine="480" w:firstLineChars="200"/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</w:rPr>
        <w:t>.2 采购代理机构</w:t>
      </w:r>
    </w:p>
    <w:p w14:paraId="71B1B3D6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采购代理机构：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 xml:space="preserve">  安徽安天利信工程管理股份有限公司  </w:t>
      </w:r>
    </w:p>
    <w:p w14:paraId="6E075CFC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地    址：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 xml:space="preserve">  合肥市蜀鑫路69号                     </w:t>
      </w:r>
    </w:p>
    <w:p w14:paraId="0F621F2D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联 系 人：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>潘浩、田倩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</w:t>
      </w:r>
    </w:p>
    <w:p w14:paraId="5AB7DECA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电    话：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>0551-63736278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</w:t>
      </w:r>
    </w:p>
    <w:p w14:paraId="32A43744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>邮    箱：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fldChar w:fldCharType="begin"/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instrText xml:space="preserve"> HYPERLINK "mailto:lding@ahbidding.com" </w:instrTex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fldChar w:fldCharType="separate"/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>hpan@ahbidding.com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fldChar w:fldCharType="end"/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  </w:t>
      </w:r>
    </w:p>
    <w:p w14:paraId="4C94181B">
      <w:pPr>
        <w:spacing w:line="360" w:lineRule="auto"/>
        <w:ind w:firstLine="480" w:firstLineChars="200"/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  <w:lang w:val="en-US" w:eastAsia="zh-CN"/>
        </w:rPr>
        <w:t>10.3异议受理联系人</w:t>
      </w:r>
    </w:p>
    <w:p w14:paraId="0003B733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  <w:lang w:val="en-US" w:eastAsia="zh-CN"/>
        </w:rPr>
        <w:t>采购</w:t>
      </w: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</w:rPr>
        <w:t>代理机构：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 xml:space="preserve">安徽安天利信工程管理股份有限公司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</w:t>
      </w:r>
    </w:p>
    <w:p w14:paraId="7E46C388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</w:rPr>
        <w:t>地    址：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>合肥市蜀鑫路69号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</w:t>
      </w:r>
    </w:p>
    <w:p w14:paraId="3EEC1706">
      <w:pPr>
        <w:spacing w:line="360" w:lineRule="auto"/>
        <w:ind w:firstLine="480" w:firstLineChars="200"/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</w:rPr>
        <w:t>联 系 人：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>潘浩、田倩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</w:t>
      </w:r>
    </w:p>
    <w:p w14:paraId="057AFB58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  <w:lang w:val="en-US" w:eastAsia="zh-CN"/>
        </w:rPr>
      </w:pP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</w:rPr>
        <w:t>电    话：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>0551-63736278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  <w:lang w:val="en-US" w:eastAsia="zh-CN"/>
        </w:rPr>
        <w:t xml:space="preserve">         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  <w:t xml:space="preserve">      </w:t>
      </w:r>
      <w:r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  <w:t xml:space="preserve"> </w:t>
      </w:r>
    </w:p>
    <w:p w14:paraId="47F04313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  <w:u w:val="single"/>
        </w:rPr>
      </w:pP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  <w:lang w:val="en-US" w:eastAsia="zh-CN"/>
        </w:rPr>
        <w:t>注：如对本项目有投诉的，投诉联系方式见异议回复函。</w:t>
      </w:r>
    </w:p>
    <w:p w14:paraId="7A3597DC">
      <w:pPr>
        <w:pStyle w:val="5"/>
        <w:spacing w:line="360" w:lineRule="auto"/>
        <w:rPr>
          <w:rFonts w:hint="default" w:ascii="Times New Roman" w:hAnsi="Times New Roman" w:eastAsia="仿宋" w:cs="Times New Roman"/>
          <w:b/>
          <w:bCs w:val="0"/>
          <w:color w:val="auto"/>
          <w:sz w:val="32"/>
          <w:highlight w:val="none"/>
        </w:rPr>
      </w:pPr>
      <w:r>
        <w:rPr>
          <w:rFonts w:hint="default" w:ascii="Times New Roman" w:hAnsi="Times New Roman" w:eastAsia="仿宋" w:cs="Times New Roman"/>
          <w:b/>
          <w:bCs w:val="0"/>
          <w:color w:val="auto"/>
          <w:sz w:val="32"/>
          <w:highlight w:val="none"/>
          <w:lang w:val="en-US" w:eastAsia="zh-CN"/>
        </w:rPr>
        <w:t>1</w:t>
      </w:r>
      <w:r>
        <w:rPr>
          <w:rFonts w:hint="eastAsia" w:ascii="Times New Roman" w:hAnsi="Times New Roman" w:eastAsia="仿宋" w:cs="Times New Roman"/>
          <w:b/>
          <w:bCs w:val="0"/>
          <w:color w:val="auto"/>
          <w:sz w:val="32"/>
          <w:highlight w:val="none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b/>
          <w:bCs w:val="0"/>
          <w:color w:val="auto"/>
          <w:sz w:val="32"/>
          <w:highlight w:val="none"/>
        </w:rPr>
        <w:t xml:space="preserve"> 其他事项说明</w:t>
      </w:r>
    </w:p>
    <w:p w14:paraId="2AC0DC52">
      <w:pPr>
        <w:spacing w:line="360" w:lineRule="auto"/>
        <w:ind w:firstLine="480" w:firstLineChars="200"/>
        <w:rPr>
          <w:rFonts w:hint="eastAsia" w:ascii="仿宋" w:hAnsi="仿宋" w:eastAsia="仿宋" w:cs="仿宋"/>
          <w:color w:val="auto"/>
          <w:sz w:val="24"/>
          <w:szCs w:val="24"/>
          <w:highlight w:val="none"/>
        </w:rPr>
      </w:pP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  <w:lang w:val="en-US" w:eastAsia="zh-CN"/>
        </w:rPr>
        <w:t>11</w:t>
      </w:r>
      <w:r>
        <w:rPr>
          <w:rFonts w:hint="eastAsia" w:ascii="仿宋" w:hAnsi="仿宋" w:eastAsia="仿宋" w:cs="仿宋"/>
          <w:bCs/>
          <w:snapToGrid w:val="0"/>
          <w:color w:val="auto"/>
          <w:kern w:val="0"/>
          <w:sz w:val="24"/>
          <w:szCs w:val="24"/>
          <w:highlight w:val="none"/>
        </w:rPr>
        <w:t>.1 供应商应合理安排采购文件获取及缴费时间，特别是网络速度慢的地区防止在系统关闭前网络拥堵无法操作。如果因计算机及网络故障造成无法完成采购文件获取及缴费，责任自负。</w:t>
      </w:r>
    </w:p>
    <w:p w14:paraId="7538482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05E283A"/>
    <w:rsid w:val="405E2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3"/>
    <w:next w:val="1"/>
    <w:qFormat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/>
      <w:kern w:val="44"/>
      <w:sz w:val="44"/>
      <w:szCs w:val="20"/>
    </w:rPr>
  </w:style>
  <w:style w:type="paragraph" w:styleId="5">
    <w:name w:val="heading 2"/>
    <w:basedOn w:val="1"/>
    <w:next w:val="1"/>
    <w:qFormat/>
    <w:uiPriority w:val="0"/>
    <w:pPr>
      <w:keepNext/>
      <w:keepLines/>
      <w:spacing w:before="260" w:after="260" w:line="412" w:lineRule="auto"/>
      <w:outlineLvl w:val="1"/>
    </w:pPr>
    <w:rPr>
      <w:rFonts w:ascii="Arial" w:hAnsi="Arial" w:eastAsia="黑体"/>
      <w:b/>
      <w:sz w:val="32"/>
      <w:szCs w:val="20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Default"/>
    <w:basedOn w:val="4"/>
    <w:next w:val="1"/>
    <w:qFormat/>
    <w:uiPriority w:val="0"/>
    <w:pPr>
      <w:widowControl w:val="0"/>
      <w:autoSpaceDE w:val="0"/>
      <w:autoSpaceDN w:val="0"/>
      <w:adjustRightInd w:val="0"/>
    </w:pPr>
    <w:rPr>
      <w:rFonts w:ascii="黑体" w:eastAsia="黑体" w:cs="黑体"/>
      <w:color w:val="000000"/>
      <w:sz w:val="24"/>
      <w:szCs w:val="24"/>
      <w:lang w:val="en-US" w:eastAsia="zh-CN" w:bidi="ar-SA"/>
    </w:rPr>
  </w:style>
  <w:style w:type="paragraph" w:customStyle="1" w:styleId="4">
    <w:name w:val="标题 段落4级"/>
    <w:qFormat/>
    <w:uiPriority w:val="0"/>
    <w:pPr>
      <w:spacing w:line="500" w:lineRule="exact"/>
      <w:outlineLvl w:val="3"/>
    </w:pPr>
    <w:rPr>
      <w:rFonts w:ascii="Times New Roman" w:hAnsi="Times New Roman" w:eastAsia="仿宋_GB2312" w:cs="Calibri"/>
      <w:b/>
      <w:kern w:val="2"/>
      <w:sz w:val="28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2026-09-07T08:31:00Z</dcterms:created>
  <dc:creator>倪谋帅</dc:creator>
  <cp:lastModifiedBy>倪谋帅</cp:lastModifiedBy>
  <dcterms:modified xsi:type="dcterms:W3CDTF">2026-09-07T08:32:52Z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C7D869442E224724BFE44215E19A1B49_11</vt:lpwstr>
  </property>
  <property fmtid="{D5CDD505-2E9C-101B-9397-08002B2CF9AE}" pid="4" name="KSOTemplateDocerSaveRecord">
    <vt:lpwstr>eyJoZGlkIjoiMjU1OGUzNTY3YWE4ZWQ1MjcwYmY3Njg1Y2ZhMTBmNzYiLCJ1c2VySWQiOiIxODQ0NTYxMzA3In0=</vt:lpwstr>
  </property>
</Properties>
</file>